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E6A55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E820263" w14:textId="77777777" w:rsidR="00BC2C64" w:rsidRPr="00356251" w:rsidRDefault="006B4476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Partnership</w:t>
      </w:r>
    </w:p>
    <w:p w14:paraId="5CA2830E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18A89EC" w14:textId="77777777" w:rsidR="00BC2C64" w:rsidRPr="00356251" w:rsidRDefault="00F80076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Visitors</w:t>
      </w:r>
    </w:p>
    <w:p w14:paraId="1ADA1AC6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3C41D0F5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56251">
        <w:rPr>
          <w:rFonts w:ascii="Arial" w:hAnsi="Arial" w:cs="Arial"/>
          <w:b/>
          <w:sz w:val="22"/>
          <w:szCs w:val="22"/>
        </w:rPr>
        <w:t>Policy Statement</w:t>
      </w:r>
    </w:p>
    <w:p w14:paraId="43FA153B" w14:textId="77777777" w:rsidR="00BC2C64" w:rsidRDefault="00BC2C64" w:rsidP="00356251">
      <w:pPr>
        <w:spacing w:line="360" w:lineRule="auto"/>
        <w:rPr>
          <w:rFonts w:ascii="Arial" w:hAnsi="Arial" w:cs="Arial"/>
          <w:sz w:val="22"/>
          <w:szCs w:val="22"/>
        </w:rPr>
      </w:pPr>
    </w:p>
    <w:p w14:paraId="6C0D442F" w14:textId="77777777" w:rsidR="00205679" w:rsidRPr="00205679" w:rsidRDefault="00CF31F3" w:rsidP="00CF31F3">
      <w:pPr>
        <w:spacing w:line="360" w:lineRule="auto"/>
        <w:rPr>
          <w:rFonts w:ascii="Arial" w:hAnsi="Arial" w:cs="Arial"/>
          <w:sz w:val="22"/>
          <w:szCs w:val="22"/>
        </w:rPr>
      </w:pPr>
      <w:r w:rsidRPr="00CF31F3">
        <w:rPr>
          <w:rFonts w:ascii="Arial" w:hAnsi="Arial" w:cs="Arial"/>
        </w:rPr>
        <w:t xml:space="preserve">The children’s safety and security is always the first priority when any visitors are at </w:t>
      </w:r>
      <w:r>
        <w:rPr>
          <w:rFonts w:ascii="Arial" w:hAnsi="Arial" w:cs="Arial"/>
        </w:rPr>
        <w:t>our setting</w:t>
      </w:r>
      <w:r w:rsidRPr="00CF31F3">
        <w:rPr>
          <w:rFonts w:ascii="Arial" w:hAnsi="Arial" w:cs="Arial"/>
        </w:rPr>
        <w:t xml:space="preserve">.  To ensure that this is maintained all visitors to the </w:t>
      </w:r>
      <w:r>
        <w:rPr>
          <w:rFonts w:ascii="Arial" w:hAnsi="Arial" w:cs="Arial"/>
        </w:rPr>
        <w:t>setting</w:t>
      </w:r>
      <w:r w:rsidRPr="00CF31F3">
        <w:rPr>
          <w:rFonts w:ascii="Arial" w:hAnsi="Arial" w:cs="Arial"/>
        </w:rPr>
        <w:t xml:space="preserve"> must follow the </w:t>
      </w:r>
      <w:r>
        <w:rPr>
          <w:rFonts w:ascii="Arial" w:hAnsi="Arial" w:cs="Arial"/>
        </w:rPr>
        <w:t>procedures</w:t>
      </w:r>
      <w:r w:rsidRPr="00CF31F3">
        <w:rPr>
          <w:rFonts w:ascii="Arial" w:hAnsi="Arial" w:cs="Arial"/>
        </w:rPr>
        <w:t xml:space="preserve"> below</w:t>
      </w:r>
      <w:r w:rsidR="00205679" w:rsidRPr="00205679">
        <w:rPr>
          <w:rFonts w:ascii="Arial" w:hAnsi="Arial" w:cs="Arial"/>
          <w:sz w:val="22"/>
          <w:szCs w:val="22"/>
        </w:rPr>
        <w:t>.</w:t>
      </w:r>
    </w:p>
    <w:p w14:paraId="53FDB16A" w14:textId="77777777" w:rsidR="00291038" w:rsidRDefault="00291038" w:rsidP="00E25419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468C108A" w14:textId="77777777" w:rsidR="00BC2C64" w:rsidRDefault="00BC2C64" w:rsidP="00E25419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EYFS k</w:t>
      </w:r>
      <w:r w:rsidRPr="00D56E03">
        <w:rPr>
          <w:rFonts w:ascii="Arial" w:hAnsi="Arial"/>
          <w:b/>
          <w:sz w:val="22"/>
          <w:szCs w:val="22"/>
        </w:rPr>
        <w:t>ey themes and commitments</w:t>
      </w:r>
    </w:p>
    <w:p w14:paraId="06636098" w14:textId="77777777" w:rsidR="008F0482" w:rsidRDefault="008F0482" w:rsidP="00E25419">
      <w:pPr>
        <w:spacing w:line="360" w:lineRule="auto"/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2398"/>
        <w:gridCol w:w="2398"/>
        <w:gridCol w:w="2398"/>
      </w:tblGrid>
      <w:tr w:rsidR="008F0482" w:rsidRPr="008F0482" w14:paraId="461D50C4" w14:textId="77777777" w:rsidTr="008F0482">
        <w:tc>
          <w:tcPr>
            <w:tcW w:w="1250" w:type="pct"/>
            <w:shd w:val="clear" w:color="auto" w:fill="00ACB6"/>
          </w:tcPr>
          <w:p w14:paraId="2D7D4E42" w14:textId="77777777" w:rsidR="008F0482" w:rsidRPr="008F0482" w:rsidRDefault="008F0482" w:rsidP="008F048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F0482">
              <w:rPr>
                <w:rFonts w:ascii="Arial" w:hAnsi="Arial" w:cs="Arial"/>
                <w:b/>
                <w:color w:val="FFFFFF"/>
                <w:sz w:val="22"/>
                <w:szCs w:val="22"/>
              </w:rPr>
              <w:t>A Unique Child</w:t>
            </w:r>
          </w:p>
        </w:tc>
        <w:tc>
          <w:tcPr>
            <w:tcW w:w="1250" w:type="pct"/>
            <w:shd w:val="clear" w:color="auto" w:fill="A64D8A"/>
          </w:tcPr>
          <w:p w14:paraId="3B3005CE" w14:textId="77777777" w:rsidR="008F0482" w:rsidRPr="008F0482" w:rsidRDefault="008F0482" w:rsidP="008F048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F0482">
              <w:rPr>
                <w:rFonts w:ascii="Arial" w:hAnsi="Arial" w:cs="Arial"/>
                <w:b/>
                <w:color w:val="FFFFFF"/>
                <w:sz w:val="22"/>
                <w:szCs w:val="22"/>
              </w:rPr>
              <w:t>Positive Relationships</w:t>
            </w:r>
          </w:p>
        </w:tc>
        <w:tc>
          <w:tcPr>
            <w:tcW w:w="1250" w:type="pct"/>
            <w:shd w:val="clear" w:color="auto" w:fill="80B71B"/>
          </w:tcPr>
          <w:p w14:paraId="3C5B82C8" w14:textId="77777777" w:rsidR="008F0482" w:rsidRPr="008F0482" w:rsidRDefault="008F0482" w:rsidP="008F0482">
            <w:pPr>
              <w:spacing w:line="36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F0482">
              <w:rPr>
                <w:rFonts w:ascii="Arial" w:hAnsi="Arial" w:cs="Arial"/>
                <w:b/>
                <w:color w:val="FFFFFF"/>
                <w:sz w:val="22"/>
                <w:szCs w:val="22"/>
              </w:rPr>
              <w:t>Enabling Environments</w:t>
            </w:r>
          </w:p>
        </w:tc>
        <w:tc>
          <w:tcPr>
            <w:tcW w:w="1250" w:type="pct"/>
            <w:shd w:val="clear" w:color="auto" w:fill="EE7F00"/>
          </w:tcPr>
          <w:p w14:paraId="1DB50F6B" w14:textId="77777777" w:rsidR="008F0482" w:rsidRPr="008F0482" w:rsidRDefault="008F0482" w:rsidP="008F0482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</w:rPr>
            </w:pPr>
            <w:r w:rsidRPr="008F0482">
              <w:rPr>
                <w:rFonts w:ascii="Arial" w:hAnsi="Arial" w:cs="Arial"/>
                <w:b/>
                <w:color w:val="FFFFFF"/>
              </w:rPr>
              <w:t>Learning and Development</w:t>
            </w:r>
          </w:p>
        </w:tc>
      </w:tr>
      <w:tr w:rsidR="00BC2C64" w:rsidRPr="00961909" w14:paraId="1C52F610" w14:textId="77777777" w:rsidTr="008F0482">
        <w:tc>
          <w:tcPr>
            <w:tcW w:w="1250" w:type="pct"/>
            <w:shd w:val="clear" w:color="auto" w:fill="00ACB6"/>
          </w:tcPr>
          <w:p w14:paraId="6DB04152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1.2 Inclusive practice</w:t>
            </w:r>
          </w:p>
          <w:p w14:paraId="1DC6E9FE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1.4 Health and well-being</w:t>
            </w:r>
          </w:p>
        </w:tc>
        <w:tc>
          <w:tcPr>
            <w:tcW w:w="1250" w:type="pct"/>
            <w:shd w:val="clear" w:color="auto" w:fill="A64D8A"/>
          </w:tcPr>
          <w:p w14:paraId="730B6AD8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2.1 Respecting each other</w:t>
            </w:r>
          </w:p>
          <w:p w14:paraId="180EDBCE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2.2 Parents as partners</w:t>
            </w:r>
          </w:p>
          <w:p w14:paraId="0D1320B7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2.3 Supporting learning</w:t>
            </w:r>
          </w:p>
          <w:p w14:paraId="31DACCC5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2.4 Key person</w:t>
            </w:r>
          </w:p>
        </w:tc>
        <w:tc>
          <w:tcPr>
            <w:tcW w:w="1250" w:type="pct"/>
            <w:shd w:val="clear" w:color="auto" w:fill="80B71B"/>
          </w:tcPr>
          <w:p w14:paraId="31EE7590" w14:textId="77777777" w:rsidR="00BC2C64" w:rsidRPr="009A18EA" w:rsidRDefault="00BC2C64" w:rsidP="009A18EA">
            <w:pPr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9A18EA">
              <w:rPr>
                <w:rFonts w:ascii="Arial" w:hAnsi="Arial" w:cs="Arial"/>
                <w:color w:val="FFFFFF"/>
                <w:sz w:val="22"/>
                <w:szCs w:val="22"/>
              </w:rPr>
              <w:t>3.2 Supporting every child</w:t>
            </w:r>
          </w:p>
        </w:tc>
        <w:tc>
          <w:tcPr>
            <w:tcW w:w="1250" w:type="pct"/>
            <w:shd w:val="clear" w:color="auto" w:fill="EE7F00"/>
          </w:tcPr>
          <w:p w14:paraId="2420E08B" w14:textId="77777777" w:rsidR="00BC2C64" w:rsidRPr="009A18EA" w:rsidRDefault="00BC2C64" w:rsidP="009A18EA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</w:p>
        </w:tc>
      </w:tr>
    </w:tbl>
    <w:p w14:paraId="35B674D1" w14:textId="77777777" w:rsidR="00BC2C64" w:rsidRPr="00356251" w:rsidRDefault="00BC2C64" w:rsidP="00356251">
      <w:pPr>
        <w:pStyle w:val="BodyText"/>
        <w:spacing w:before="0" w:after="0" w:line="360" w:lineRule="auto"/>
        <w:rPr>
          <w:rFonts w:cs="Arial"/>
          <w:b/>
          <w:sz w:val="22"/>
          <w:szCs w:val="22"/>
        </w:rPr>
      </w:pPr>
    </w:p>
    <w:p w14:paraId="33AC47D3" w14:textId="77777777" w:rsidR="00BC2C64" w:rsidRDefault="00BC2C64" w:rsidP="0035625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56251">
        <w:rPr>
          <w:rFonts w:ascii="Arial" w:hAnsi="Arial" w:cs="Arial"/>
          <w:b/>
          <w:sz w:val="22"/>
          <w:szCs w:val="22"/>
        </w:rPr>
        <w:t>Procedures</w:t>
      </w:r>
    </w:p>
    <w:p w14:paraId="734C3195" w14:textId="77777777" w:rsidR="00BC2C64" w:rsidRPr="00356251" w:rsidRDefault="00BC2C64" w:rsidP="0035625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D17095B" w14:textId="77777777" w:rsidR="00CF31F3" w:rsidRPr="00CF31F3" w:rsidRDefault="00CF31F3" w:rsidP="00CF31F3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F31F3">
        <w:rPr>
          <w:rFonts w:ascii="Arial" w:hAnsi="Arial" w:cs="Arial"/>
          <w:sz w:val="22"/>
          <w:szCs w:val="22"/>
        </w:rPr>
        <w:t>Visitor’s personal mobile phones and personal photographic equipment can only be used in designated areas.</w:t>
      </w:r>
    </w:p>
    <w:p w14:paraId="07CEB504" w14:textId="77777777" w:rsidR="00CF31F3" w:rsidRPr="00CF31F3" w:rsidRDefault="00CF31F3" w:rsidP="00CF31F3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F31F3">
        <w:rPr>
          <w:rFonts w:ascii="Arial" w:hAnsi="Arial" w:cs="Arial"/>
          <w:sz w:val="22"/>
          <w:szCs w:val="22"/>
        </w:rPr>
        <w:t>Visitors must sign the visitors’ book on arrival.  Where appropriate identity will be verified and a visitor’s badge will be provided and this must be worn at all times whilst on site.</w:t>
      </w:r>
    </w:p>
    <w:p w14:paraId="2002FC79" w14:textId="77777777" w:rsidR="00CF31F3" w:rsidRPr="00CF31F3" w:rsidRDefault="00CF31F3" w:rsidP="00CF31F3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F31F3">
        <w:rPr>
          <w:rFonts w:ascii="Arial" w:hAnsi="Arial" w:cs="Arial"/>
          <w:sz w:val="22"/>
          <w:szCs w:val="22"/>
        </w:rPr>
        <w:t xml:space="preserve">All visitors will be accompanied whilst in the building and NEVER left on their own with children. </w:t>
      </w:r>
    </w:p>
    <w:p w14:paraId="2D9C7344" w14:textId="77777777" w:rsidR="00CF31F3" w:rsidRPr="00CF31F3" w:rsidRDefault="00CF31F3" w:rsidP="00CF31F3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F31F3">
        <w:rPr>
          <w:rFonts w:ascii="Arial" w:hAnsi="Arial" w:cs="Arial"/>
          <w:sz w:val="22"/>
          <w:szCs w:val="22"/>
        </w:rPr>
        <w:t xml:space="preserve">Any external professionals/maintenance contractors must book an appointment in advance detailing the purpose of the visit and number of people attending.  Where this is not adhered to, </w:t>
      </w:r>
      <w:r>
        <w:rPr>
          <w:rFonts w:ascii="Arial" w:hAnsi="Arial" w:cs="Arial"/>
          <w:sz w:val="22"/>
          <w:szCs w:val="22"/>
        </w:rPr>
        <w:t>we</w:t>
      </w:r>
      <w:r w:rsidRPr="00CF31F3">
        <w:rPr>
          <w:rFonts w:ascii="Arial" w:hAnsi="Arial" w:cs="Arial"/>
          <w:sz w:val="22"/>
          <w:szCs w:val="22"/>
        </w:rPr>
        <w:t xml:space="preserve"> may need to verify the purpose of the visit with their employer to maintain effective safeguarding.</w:t>
      </w:r>
    </w:p>
    <w:p w14:paraId="65FED237" w14:textId="77777777" w:rsidR="00CF31F3" w:rsidRPr="00CF31F3" w:rsidRDefault="00CF31F3" w:rsidP="00CF31F3">
      <w:pPr>
        <w:numPr>
          <w:ilvl w:val="0"/>
          <w:numId w:val="3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F31F3">
        <w:rPr>
          <w:rFonts w:ascii="Arial" w:hAnsi="Arial" w:cs="Arial"/>
          <w:sz w:val="22"/>
          <w:szCs w:val="22"/>
        </w:rPr>
        <w:t xml:space="preserve">Visitors must always sign out and return visitor’s badges before exiting the </w:t>
      </w:r>
      <w:r>
        <w:rPr>
          <w:rFonts w:ascii="Arial" w:hAnsi="Arial" w:cs="Arial"/>
          <w:sz w:val="22"/>
          <w:szCs w:val="22"/>
        </w:rPr>
        <w:t>setting</w:t>
      </w:r>
      <w:r w:rsidRPr="00CF31F3">
        <w:rPr>
          <w:rFonts w:ascii="Arial" w:hAnsi="Arial" w:cs="Arial"/>
          <w:sz w:val="22"/>
          <w:szCs w:val="22"/>
        </w:rPr>
        <w:t xml:space="preserve">.  </w:t>
      </w:r>
    </w:p>
    <w:p w14:paraId="7BD37200" w14:textId="77777777" w:rsidR="00BC2C64" w:rsidRPr="00CF31F3" w:rsidRDefault="00CF31F3" w:rsidP="00CF31F3">
      <w:pPr>
        <w:numPr>
          <w:ilvl w:val="0"/>
          <w:numId w:val="36"/>
        </w:numPr>
        <w:spacing w:line="360" w:lineRule="auto"/>
        <w:rPr>
          <w:rFonts w:ascii="Arial" w:hAnsi="Arial" w:cs="Arial"/>
          <w:sz w:val="22"/>
          <w:szCs w:val="22"/>
        </w:rPr>
      </w:pPr>
      <w:r w:rsidRPr="00CF31F3">
        <w:rPr>
          <w:rFonts w:ascii="Arial" w:hAnsi="Arial" w:cs="Arial"/>
          <w:sz w:val="22"/>
          <w:szCs w:val="22"/>
        </w:rPr>
        <w:lastRenderedPageBreak/>
        <w:t>Visitors must not leave their belongings unattended at any time during the visit unless secured in a locker for this purpose.</w:t>
      </w:r>
    </w:p>
    <w:p w14:paraId="79C96B06" w14:textId="77777777" w:rsidR="00BC2C64" w:rsidRDefault="00BC2C64" w:rsidP="0035625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19"/>
        <w:gridCol w:w="3346"/>
        <w:gridCol w:w="1838"/>
      </w:tblGrid>
      <w:tr w:rsidR="007745F2" w:rsidRPr="00452363" w14:paraId="78DD8182" w14:textId="77777777" w:rsidTr="00C37093">
        <w:tc>
          <w:tcPr>
            <w:tcW w:w="2301" w:type="pct"/>
          </w:tcPr>
          <w:p w14:paraId="31A5A6BB" w14:textId="77777777" w:rsidR="007745F2" w:rsidRPr="00C26999" w:rsidRDefault="007745F2" w:rsidP="00C370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Version number</w:t>
            </w:r>
          </w:p>
        </w:tc>
        <w:tc>
          <w:tcPr>
            <w:tcW w:w="1742" w:type="pct"/>
          </w:tcPr>
          <w:p w14:paraId="3AFA1918" w14:textId="77777777" w:rsidR="007745F2" w:rsidRPr="00C26999" w:rsidRDefault="007745F2" w:rsidP="00C370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957" w:type="pct"/>
          </w:tcPr>
          <w:p w14:paraId="27A17A4C" w14:textId="77777777" w:rsidR="007745F2" w:rsidRPr="00C26999" w:rsidRDefault="007745F2" w:rsidP="00C370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A04A2" w:rsidRPr="00452363" w14:paraId="10F1361B" w14:textId="77777777" w:rsidTr="00C37093">
        <w:tc>
          <w:tcPr>
            <w:tcW w:w="2301" w:type="pct"/>
          </w:tcPr>
          <w:p w14:paraId="64BE5880" w14:textId="0C047953" w:rsidR="009A04A2" w:rsidRPr="00C26999" w:rsidRDefault="009A04A2" w:rsidP="009A04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Review Period minimum:</w:t>
            </w:r>
          </w:p>
        </w:tc>
        <w:tc>
          <w:tcPr>
            <w:tcW w:w="1742" w:type="pct"/>
          </w:tcPr>
          <w:p w14:paraId="75562580" w14:textId="30B59CA8" w:rsidR="009A04A2" w:rsidRPr="00C26999" w:rsidRDefault="009A04A2" w:rsidP="009A04A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Every November</w:t>
            </w:r>
          </w:p>
        </w:tc>
        <w:tc>
          <w:tcPr>
            <w:tcW w:w="957" w:type="pct"/>
          </w:tcPr>
          <w:p w14:paraId="04E99B23" w14:textId="77777777" w:rsidR="009A04A2" w:rsidRPr="00C26999" w:rsidRDefault="009A04A2" w:rsidP="009A04A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45F2" w:rsidRPr="00452363" w14:paraId="3D48ACCE" w14:textId="77777777" w:rsidTr="00C37093">
        <w:tc>
          <w:tcPr>
            <w:tcW w:w="2301" w:type="pct"/>
          </w:tcPr>
          <w:p w14:paraId="1DC49D38" w14:textId="77777777" w:rsidR="007745F2" w:rsidRPr="00C26999" w:rsidRDefault="007745F2" w:rsidP="00C37093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699" w:type="pct"/>
            <w:gridSpan w:val="2"/>
          </w:tcPr>
          <w:p w14:paraId="1AD01F2C" w14:textId="77777777" w:rsidR="007745F2" w:rsidRPr="0025486E" w:rsidRDefault="007745F2" w:rsidP="00C37093">
            <w:pPr>
              <w:spacing w:line="360" w:lineRule="auto"/>
              <w:rPr>
                <w:rFonts w:ascii="Comic Sans MS" w:hAnsi="Comic Sans MS" w:cs="Arial"/>
              </w:rPr>
            </w:pPr>
            <w:r w:rsidRPr="0025486E">
              <w:rPr>
                <w:rFonts w:ascii="Comic Sans MS" w:hAnsi="Comic Sans MS" w:cs="Arial"/>
              </w:rPr>
              <w:t>Steve Scott</w:t>
            </w:r>
          </w:p>
        </w:tc>
      </w:tr>
      <w:tr w:rsidR="007745F2" w:rsidRPr="00452363" w14:paraId="62E11606" w14:textId="77777777" w:rsidTr="00C37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281A422A" w14:textId="77777777" w:rsidR="007745F2" w:rsidRPr="00C26999" w:rsidRDefault="007745F2" w:rsidP="00C37093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90B3E" w14:textId="77777777" w:rsidR="007745F2" w:rsidRPr="00C26999" w:rsidRDefault="007745F2" w:rsidP="00C370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Scott</w:t>
            </w:r>
          </w:p>
        </w:tc>
      </w:tr>
      <w:tr w:rsidR="007745F2" w:rsidRPr="00452363" w14:paraId="5ECAD066" w14:textId="77777777" w:rsidTr="00C370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7016CF79" w14:textId="77777777" w:rsidR="007745F2" w:rsidRPr="00C26999" w:rsidRDefault="007745F2" w:rsidP="00C37093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Role of signatory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2595B" w14:textId="77777777" w:rsidR="007745F2" w:rsidRPr="00C26999" w:rsidRDefault="007745F2" w:rsidP="00C370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</w:tr>
    </w:tbl>
    <w:p w14:paraId="45B86FE0" w14:textId="77777777" w:rsidR="00BC2C64" w:rsidRPr="00356251" w:rsidRDefault="00BC2C64" w:rsidP="00AE17E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C2C64" w:rsidRPr="00356251" w:rsidSect="00E25419">
      <w:headerReference w:type="first" r:id="rId7"/>
      <w:pgSz w:w="11907" w:h="16839" w:code="9"/>
      <w:pgMar w:top="1152" w:right="1152" w:bottom="1152" w:left="11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BD805" w14:textId="77777777" w:rsidR="00FC66A4" w:rsidRDefault="00FC66A4" w:rsidP="00356251">
      <w:r>
        <w:separator/>
      </w:r>
    </w:p>
  </w:endnote>
  <w:endnote w:type="continuationSeparator" w:id="0">
    <w:p w14:paraId="42D5CD54" w14:textId="77777777" w:rsidR="00FC66A4" w:rsidRDefault="00FC66A4" w:rsidP="0035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5BC96" w14:textId="77777777" w:rsidR="00FC66A4" w:rsidRDefault="00FC66A4" w:rsidP="00356251">
      <w:r>
        <w:separator/>
      </w:r>
    </w:p>
  </w:footnote>
  <w:footnote w:type="continuationSeparator" w:id="0">
    <w:p w14:paraId="1BBE8012" w14:textId="77777777" w:rsidR="00FC66A4" w:rsidRDefault="00FC66A4" w:rsidP="0035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DB882" w14:textId="77777777" w:rsidR="00BC2C64" w:rsidRDefault="00BC2C64" w:rsidP="00356251">
    <w:pPr>
      <w:pBdr>
        <w:top w:val="single" w:sz="4" w:space="1" w:color="8064A2"/>
        <w:left w:val="single" w:sz="4" w:space="4" w:color="8064A2"/>
        <w:bottom w:val="single" w:sz="4" w:space="1" w:color="8064A2"/>
        <w:right w:val="single" w:sz="4" w:space="4" w:color="8064A2"/>
      </w:pBdr>
      <w:spacing w:before="120" w:after="120"/>
      <w:rPr>
        <w:rFonts w:ascii="Arial" w:hAnsi="Arial"/>
        <w:b/>
        <w:color w:val="8064A2"/>
        <w:sz w:val="22"/>
        <w:szCs w:val="22"/>
      </w:rPr>
    </w:pPr>
    <w:r>
      <w:rPr>
        <w:rFonts w:ascii="Arial" w:hAnsi="Arial"/>
        <w:b/>
        <w:color w:val="8064A2"/>
        <w:sz w:val="22"/>
        <w:szCs w:val="22"/>
      </w:rPr>
      <w:t>General Welfare Requirement: Organisation</w:t>
    </w:r>
  </w:p>
  <w:p w14:paraId="4C4C3CF3" w14:textId="77777777" w:rsidR="00BC2C64" w:rsidRDefault="00F80076" w:rsidP="00356251">
    <w:pPr>
      <w:pBdr>
        <w:top w:val="single" w:sz="4" w:space="1" w:color="8064A2"/>
        <w:left w:val="single" w:sz="4" w:space="4" w:color="8064A2"/>
        <w:bottom w:val="single" w:sz="4" w:space="1" w:color="8064A2"/>
        <w:right w:val="single" w:sz="4" w:space="4" w:color="8064A2"/>
      </w:pBdr>
      <w:spacing w:before="120" w:after="120"/>
      <w:rPr>
        <w:rFonts w:ascii="Arial" w:hAnsi="Arial"/>
        <w:color w:val="8064A2"/>
        <w:sz w:val="22"/>
        <w:szCs w:val="22"/>
      </w:rPr>
    </w:pPr>
    <w:r>
      <w:rPr>
        <w:rFonts w:ascii="Arial" w:hAnsi="Arial"/>
        <w:color w:val="8064A2"/>
        <w:sz w:val="22"/>
        <w:szCs w:val="22"/>
      </w:rPr>
      <w:t>Happy Kids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372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B55B4"/>
    <w:multiLevelType w:val="hybridMultilevel"/>
    <w:tmpl w:val="3C563E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56AB0"/>
    <w:multiLevelType w:val="hybridMultilevel"/>
    <w:tmpl w:val="4038F5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91C2F"/>
    <w:multiLevelType w:val="hybridMultilevel"/>
    <w:tmpl w:val="CA825A2A"/>
    <w:lvl w:ilvl="0" w:tplc="9EEC4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64A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90B23"/>
    <w:multiLevelType w:val="hybridMultilevel"/>
    <w:tmpl w:val="C734AF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3734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D5C46"/>
    <w:multiLevelType w:val="hybridMultilevel"/>
    <w:tmpl w:val="8A2410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2228F"/>
    <w:multiLevelType w:val="hybridMultilevel"/>
    <w:tmpl w:val="A710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7227"/>
    <w:multiLevelType w:val="hybridMultilevel"/>
    <w:tmpl w:val="40A214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A211D4"/>
    <w:multiLevelType w:val="hybridMultilevel"/>
    <w:tmpl w:val="619C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7011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EB5F3B"/>
    <w:multiLevelType w:val="hybridMultilevel"/>
    <w:tmpl w:val="5A0034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303A"/>
    <w:multiLevelType w:val="hybridMultilevel"/>
    <w:tmpl w:val="D16A6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225AAD"/>
    <w:multiLevelType w:val="hybridMultilevel"/>
    <w:tmpl w:val="E6725F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EB4B86"/>
    <w:multiLevelType w:val="hybridMultilevel"/>
    <w:tmpl w:val="126C268C"/>
    <w:lvl w:ilvl="0" w:tplc="9EEC4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64A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2664F2"/>
    <w:multiLevelType w:val="hybridMultilevel"/>
    <w:tmpl w:val="EE90D4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B81E40"/>
    <w:multiLevelType w:val="hybridMultilevel"/>
    <w:tmpl w:val="6A2A3BE8"/>
    <w:lvl w:ilvl="0" w:tplc="9EEC4B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64A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BDC1774"/>
    <w:multiLevelType w:val="hybridMultilevel"/>
    <w:tmpl w:val="A5D68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E17849"/>
    <w:multiLevelType w:val="hybridMultilevel"/>
    <w:tmpl w:val="938043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62E23"/>
    <w:multiLevelType w:val="hybridMultilevel"/>
    <w:tmpl w:val="7C14A2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C7308"/>
    <w:multiLevelType w:val="hybridMultilevel"/>
    <w:tmpl w:val="B65EAD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7B2F1C"/>
    <w:multiLevelType w:val="hybridMultilevel"/>
    <w:tmpl w:val="26641E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8E691A"/>
    <w:multiLevelType w:val="hybridMultilevel"/>
    <w:tmpl w:val="BFE085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75CE0"/>
    <w:multiLevelType w:val="hybridMultilevel"/>
    <w:tmpl w:val="4C6C39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D25D6F"/>
    <w:multiLevelType w:val="hybridMultilevel"/>
    <w:tmpl w:val="868881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A967AC"/>
    <w:multiLevelType w:val="hybridMultilevel"/>
    <w:tmpl w:val="F956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F3DDF"/>
    <w:multiLevelType w:val="hybridMultilevel"/>
    <w:tmpl w:val="2606402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5785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8D760D"/>
    <w:multiLevelType w:val="hybridMultilevel"/>
    <w:tmpl w:val="255EF7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A16A86"/>
    <w:multiLevelType w:val="hybridMultilevel"/>
    <w:tmpl w:val="C5D29D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61A4C"/>
    <w:multiLevelType w:val="hybridMultilevel"/>
    <w:tmpl w:val="1F0423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C74914"/>
    <w:multiLevelType w:val="hybridMultilevel"/>
    <w:tmpl w:val="8A7AE4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8203A9"/>
    <w:multiLevelType w:val="hybridMultilevel"/>
    <w:tmpl w:val="11EABA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6B5FF1"/>
    <w:multiLevelType w:val="hybridMultilevel"/>
    <w:tmpl w:val="DEC6D3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784227"/>
    <w:multiLevelType w:val="hybridMultilevel"/>
    <w:tmpl w:val="2F4CC0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823377"/>
    <w:multiLevelType w:val="hybridMultilevel"/>
    <w:tmpl w:val="4CE20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D5A71"/>
    <w:multiLevelType w:val="hybridMultilevel"/>
    <w:tmpl w:val="8B76A5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364F1E"/>
    <w:multiLevelType w:val="hybridMultilevel"/>
    <w:tmpl w:val="0F78B41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456D81"/>
    <w:multiLevelType w:val="hybridMultilevel"/>
    <w:tmpl w:val="60DE79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4"/>
  </w:num>
  <w:num w:numId="5">
    <w:abstractNumId w:val="22"/>
  </w:num>
  <w:num w:numId="6">
    <w:abstractNumId w:val="8"/>
  </w:num>
  <w:num w:numId="7">
    <w:abstractNumId w:val="34"/>
  </w:num>
  <w:num w:numId="8">
    <w:abstractNumId w:val="12"/>
  </w:num>
  <w:num w:numId="9">
    <w:abstractNumId w:val="15"/>
  </w:num>
  <w:num w:numId="10">
    <w:abstractNumId w:val="11"/>
  </w:num>
  <w:num w:numId="11">
    <w:abstractNumId w:val="28"/>
  </w:num>
  <w:num w:numId="12">
    <w:abstractNumId w:val="24"/>
  </w:num>
  <w:num w:numId="13">
    <w:abstractNumId w:val="36"/>
  </w:num>
  <w:num w:numId="14">
    <w:abstractNumId w:val="23"/>
  </w:num>
  <w:num w:numId="15">
    <w:abstractNumId w:val="0"/>
  </w:num>
  <w:num w:numId="16">
    <w:abstractNumId w:val="27"/>
  </w:num>
  <w:num w:numId="17">
    <w:abstractNumId w:val="10"/>
  </w:num>
  <w:num w:numId="18">
    <w:abstractNumId w:val="26"/>
  </w:num>
  <w:num w:numId="19">
    <w:abstractNumId w:val="38"/>
  </w:num>
  <w:num w:numId="20">
    <w:abstractNumId w:val="35"/>
  </w:num>
  <w:num w:numId="21">
    <w:abstractNumId w:val="29"/>
  </w:num>
  <w:num w:numId="22">
    <w:abstractNumId w:val="1"/>
  </w:num>
  <w:num w:numId="23">
    <w:abstractNumId w:val="20"/>
  </w:num>
  <w:num w:numId="24">
    <w:abstractNumId w:val="33"/>
  </w:num>
  <w:num w:numId="25">
    <w:abstractNumId w:val="37"/>
  </w:num>
  <w:num w:numId="26">
    <w:abstractNumId w:val="6"/>
  </w:num>
  <w:num w:numId="27">
    <w:abstractNumId w:val="2"/>
  </w:num>
  <w:num w:numId="28">
    <w:abstractNumId w:val="32"/>
  </w:num>
  <w:num w:numId="29">
    <w:abstractNumId w:val="7"/>
  </w:num>
  <w:num w:numId="30">
    <w:abstractNumId w:val="9"/>
  </w:num>
  <w:num w:numId="31">
    <w:abstractNumId w:val="25"/>
  </w:num>
  <w:num w:numId="32">
    <w:abstractNumId w:val="18"/>
  </w:num>
  <w:num w:numId="33">
    <w:abstractNumId w:val="13"/>
  </w:num>
  <w:num w:numId="34">
    <w:abstractNumId w:val="30"/>
  </w:num>
  <w:num w:numId="35">
    <w:abstractNumId w:val="3"/>
  </w:num>
  <w:num w:numId="36">
    <w:abstractNumId w:val="14"/>
  </w:num>
  <w:num w:numId="37">
    <w:abstractNumId w:val="31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1A"/>
    <w:rsid w:val="00011541"/>
    <w:rsid w:val="0005348F"/>
    <w:rsid w:val="0005544B"/>
    <w:rsid w:val="000B4F85"/>
    <w:rsid w:val="000F24EC"/>
    <w:rsid w:val="00105D34"/>
    <w:rsid w:val="00126FFA"/>
    <w:rsid w:val="00195844"/>
    <w:rsid w:val="00195F91"/>
    <w:rsid w:val="001D2373"/>
    <w:rsid w:val="001D3652"/>
    <w:rsid w:val="001E24D6"/>
    <w:rsid w:val="001E39E1"/>
    <w:rsid w:val="001F1869"/>
    <w:rsid w:val="00205679"/>
    <w:rsid w:val="00291038"/>
    <w:rsid w:val="0029554F"/>
    <w:rsid w:val="002A1943"/>
    <w:rsid w:val="002A20C7"/>
    <w:rsid w:val="0030499D"/>
    <w:rsid w:val="00305FB6"/>
    <w:rsid w:val="00312D29"/>
    <w:rsid w:val="00322EC5"/>
    <w:rsid w:val="00330C8F"/>
    <w:rsid w:val="00356251"/>
    <w:rsid w:val="00360DE2"/>
    <w:rsid w:val="003635B9"/>
    <w:rsid w:val="00384CBA"/>
    <w:rsid w:val="003E2524"/>
    <w:rsid w:val="00435D8D"/>
    <w:rsid w:val="00444F38"/>
    <w:rsid w:val="004504B8"/>
    <w:rsid w:val="00452363"/>
    <w:rsid w:val="004705AE"/>
    <w:rsid w:val="00474BFF"/>
    <w:rsid w:val="004D5811"/>
    <w:rsid w:val="00515B3C"/>
    <w:rsid w:val="00530AEA"/>
    <w:rsid w:val="0058232E"/>
    <w:rsid w:val="00597F7A"/>
    <w:rsid w:val="005C3064"/>
    <w:rsid w:val="00612963"/>
    <w:rsid w:val="0064706D"/>
    <w:rsid w:val="00652886"/>
    <w:rsid w:val="006911FE"/>
    <w:rsid w:val="006B289B"/>
    <w:rsid w:val="006B4476"/>
    <w:rsid w:val="006B6710"/>
    <w:rsid w:val="006F243E"/>
    <w:rsid w:val="006F614D"/>
    <w:rsid w:val="00704C10"/>
    <w:rsid w:val="00754DB7"/>
    <w:rsid w:val="007745F2"/>
    <w:rsid w:val="007C4959"/>
    <w:rsid w:val="007D0CEA"/>
    <w:rsid w:val="008125F6"/>
    <w:rsid w:val="00851855"/>
    <w:rsid w:val="008A516A"/>
    <w:rsid w:val="008A7313"/>
    <w:rsid w:val="008C313F"/>
    <w:rsid w:val="008F0482"/>
    <w:rsid w:val="008F51AD"/>
    <w:rsid w:val="00901A34"/>
    <w:rsid w:val="00906004"/>
    <w:rsid w:val="00961909"/>
    <w:rsid w:val="009809D7"/>
    <w:rsid w:val="009961CC"/>
    <w:rsid w:val="00996486"/>
    <w:rsid w:val="009A04A2"/>
    <w:rsid w:val="009A18EA"/>
    <w:rsid w:val="00A65571"/>
    <w:rsid w:val="00AB059C"/>
    <w:rsid w:val="00AB4272"/>
    <w:rsid w:val="00AD50A5"/>
    <w:rsid w:val="00AE17ED"/>
    <w:rsid w:val="00B25624"/>
    <w:rsid w:val="00B378E3"/>
    <w:rsid w:val="00B456CB"/>
    <w:rsid w:val="00BA450C"/>
    <w:rsid w:val="00BA5DCF"/>
    <w:rsid w:val="00BC2C64"/>
    <w:rsid w:val="00BC6210"/>
    <w:rsid w:val="00BF0015"/>
    <w:rsid w:val="00BF0BF0"/>
    <w:rsid w:val="00C10CC6"/>
    <w:rsid w:val="00C10D62"/>
    <w:rsid w:val="00C24372"/>
    <w:rsid w:val="00C47A2F"/>
    <w:rsid w:val="00C71E0E"/>
    <w:rsid w:val="00CB563E"/>
    <w:rsid w:val="00CC2F8B"/>
    <w:rsid w:val="00CF31F3"/>
    <w:rsid w:val="00D05AC9"/>
    <w:rsid w:val="00D42DAD"/>
    <w:rsid w:val="00D56E03"/>
    <w:rsid w:val="00D93A5A"/>
    <w:rsid w:val="00DA0EEC"/>
    <w:rsid w:val="00DE34FC"/>
    <w:rsid w:val="00E02110"/>
    <w:rsid w:val="00E06CFA"/>
    <w:rsid w:val="00E23DD9"/>
    <w:rsid w:val="00E25419"/>
    <w:rsid w:val="00E51263"/>
    <w:rsid w:val="00E65254"/>
    <w:rsid w:val="00E73B5C"/>
    <w:rsid w:val="00EA34CF"/>
    <w:rsid w:val="00EB2822"/>
    <w:rsid w:val="00F17923"/>
    <w:rsid w:val="00F716A2"/>
    <w:rsid w:val="00F80076"/>
    <w:rsid w:val="00F84596"/>
    <w:rsid w:val="00F93F1E"/>
    <w:rsid w:val="00FA351A"/>
    <w:rsid w:val="00FC66A4"/>
    <w:rsid w:val="00FD493D"/>
    <w:rsid w:val="00FE0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94ACE"/>
  <w15:docId w15:val="{581A6CC4-06FA-44F3-A11C-6697964B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305F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6911FE"/>
    <w:pPr>
      <w:spacing w:before="120" w:after="120"/>
    </w:pPr>
    <w:rPr>
      <w:rFonts w:ascii="Arial" w:hAnsi="Arial"/>
      <w:i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11FE"/>
    <w:rPr>
      <w:rFonts w:ascii="Arial" w:hAnsi="Arial" w:cs="Times New Roman"/>
      <w:i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DE34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56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625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56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6251"/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9809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Scott</dc:creator>
  <cp:lastModifiedBy>steve scott</cp:lastModifiedBy>
  <cp:revision>4</cp:revision>
  <cp:lastPrinted>2015-08-21T09:29:00Z</cp:lastPrinted>
  <dcterms:created xsi:type="dcterms:W3CDTF">2017-10-31T17:52:00Z</dcterms:created>
  <dcterms:modified xsi:type="dcterms:W3CDTF">2021-01-13T15:59:00Z</dcterms:modified>
</cp:coreProperties>
</file>